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68" w:rsidRDefault="005D2E68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5D2E68" w:rsidRDefault="005D2E68">
      <w:pPr>
        <w:pStyle w:val="ConsPlusNormal"/>
        <w:spacing w:before="280"/>
        <w:jc w:val="both"/>
      </w:pPr>
      <w:r>
        <w:t>Республики Беларусь 8 августа 2019 г. N 1/18507</w:t>
      </w:r>
    </w:p>
    <w:p w:rsidR="005D2E68" w:rsidRDefault="005D2E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2E68" w:rsidRDefault="005D2E68">
      <w:pPr>
        <w:pStyle w:val="ConsPlusNormal"/>
      </w:pPr>
    </w:p>
    <w:p w:rsidR="005D2E68" w:rsidRDefault="005D2E68">
      <w:pPr>
        <w:pStyle w:val="ConsPlusTitle"/>
        <w:jc w:val="center"/>
      </w:pPr>
      <w:r>
        <w:t>УКАЗ ПРЕЗИДЕНТА РЕСПУБЛИКИ БЕЛАРУСЬ</w:t>
      </w:r>
    </w:p>
    <w:p w:rsidR="005D2E68" w:rsidRDefault="005D2E68">
      <w:pPr>
        <w:pStyle w:val="ConsPlusTitle"/>
        <w:jc w:val="center"/>
      </w:pPr>
      <w:r>
        <w:t>7 августа 2019 г. №</w:t>
      </w:r>
      <w:bookmarkStart w:id="0" w:name="_GoBack"/>
      <w:bookmarkEnd w:id="0"/>
      <w:r>
        <w:t xml:space="preserve"> 300</w:t>
      </w:r>
    </w:p>
    <w:p w:rsidR="005D2E68" w:rsidRDefault="005D2E68">
      <w:pPr>
        <w:pStyle w:val="ConsPlusTitle"/>
        <w:jc w:val="center"/>
      </w:pPr>
    </w:p>
    <w:p w:rsidR="005D2E68" w:rsidRDefault="005D2E68">
      <w:pPr>
        <w:pStyle w:val="ConsPlusTitle"/>
        <w:jc w:val="center"/>
      </w:pPr>
      <w:r>
        <w:t>ОБ УСТАНОВЛЕНИИ БЕЗВИЗОВОГО ПОРЯДКА ВЪЕЗДА И ВЫЕЗДА ИНОСТРАННЫХ ГРАЖДАН</w:t>
      </w:r>
    </w:p>
    <w:p w:rsidR="005D2E68" w:rsidRDefault="005D2E68">
      <w:pPr>
        <w:pStyle w:val="ConsPlusNormal"/>
      </w:pPr>
    </w:p>
    <w:p w:rsidR="005D2E68" w:rsidRDefault="005D2E68">
      <w:pPr>
        <w:pStyle w:val="ConsPlusNormal"/>
        <w:ind w:firstLine="540"/>
        <w:jc w:val="both"/>
      </w:pPr>
      <w:r>
        <w:t>В целях повышения эффективности использования объектов туристической инфраструктуры и дальнейшего развития трансграничного туризма:</w:t>
      </w:r>
    </w:p>
    <w:p w:rsidR="005D2E68" w:rsidRDefault="005D2E68">
      <w:pPr>
        <w:pStyle w:val="ConsPlusNormal"/>
        <w:spacing w:before="280"/>
        <w:ind w:firstLine="540"/>
        <w:jc w:val="both"/>
      </w:pPr>
      <w:bookmarkStart w:id="1" w:name="P11"/>
      <w:bookmarkEnd w:id="1"/>
      <w:r>
        <w:t xml:space="preserve">1. Установить безвизовый порядок въезда в Республику Беларусь и выезда из Республики Беларусь для граждан государств, указанных в </w:t>
      </w:r>
      <w:hyperlink w:anchor="P49" w:history="1">
        <w:r>
          <w:rPr>
            <w:color w:val="0000FF"/>
          </w:rPr>
          <w:t>приложении 1</w:t>
        </w:r>
      </w:hyperlink>
      <w:r>
        <w:t xml:space="preserve"> (далее - граждане), в пунктах пропуска через Государственную границу Республики Беларусь, определенных в </w:t>
      </w:r>
      <w:hyperlink w:anchor="P138" w:history="1">
        <w:r>
          <w:rPr>
            <w:color w:val="0000FF"/>
          </w:rPr>
          <w:t>приложении 2</w:t>
        </w:r>
      </w:hyperlink>
      <w:r>
        <w:t xml:space="preserve"> (далее - пункты пропуска), и временного пребывания в туристических целях на срок до пятнадцати суток (далее - временное пребывание):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на безвизовой территории "Брест - Гродно";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при групповом посещении гражданами безвизовой территории "Брест - Гродно", а также территорий районов Брестской и Гродненской областей, не являющихся частью данной территории, при следовании по маршруту туристического путешествия.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 xml:space="preserve">2. Безвизовую территорию "Брест - Гродно" составляют территории г. Бреста, Брестского, </w:t>
      </w:r>
      <w:proofErr w:type="spellStart"/>
      <w:r>
        <w:t>Жабинковского</w:t>
      </w:r>
      <w:proofErr w:type="spellEnd"/>
      <w:r>
        <w:t xml:space="preserve">, </w:t>
      </w:r>
      <w:proofErr w:type="spellStart"/>
      <w:r>
        <w:t>Каменецкого</w:t>
      </w:r>
      <w:proofErr w:type="spellEnd"/>
      <w:r>
        <w:t xml:space="preserve">, </w:t>
      </w:r>
      <w:proofErr w:type="spellStart"/>
      <w:r>
        <w:t>Пружанского</w:t>
      </w:r>
      <w:proofErr w:type="spellEnd"/>
      <w:r>
        <w:t xml:space="preserve"> районов Брестской области, г. Гродно, </w:t>
      </w:r>
      <w:proofErr w:type="spellStart"/>
      <w:r>
        <w:t>Берестовицкого</w:t>
      </w:r>
      <w:proofErr w:type="spellEnd"/>
      <w:r>
        <w:t xml:space="preserve">, Волковысского, </w:t>
      </w:r>
      <w:proofErr w:type="spellStart"/>
      <w:r>
        <w:t>Вороновского</w:t>
      </w:r>
      <w:proofErr w:type="spellEnd"/>
      <w:r>
        <w:t xml:space="preserve">, Гродненского, Лидского, </w:t>
      </w:r>
      <w:proofErr w:type="spellStart"/>
      <w:r>
        <w:t>Свислочского</w:t>
      </w:r>
      <w:proofErr w:type="spellEnd"/>
      <w:r>
        <w:t xml:space="preserve">, </w:t>
      </w:r>
      <w:proofErr w:type="spellStart"/>
      <w:r>
        <w:t>Щучинского</w:t>
      </w:r>
      <w:proofErr w:type="spellEnd"/>
      <w:r>
        <w:t xml:space="preserve"> районов Гродненской области.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 xml:space="preserve">3. Срок пребывания граждан при безвизовом порядке въезда в Республику Беларусь и выезда из Республики Беларусь в пунктах пропуска составляет срок тура, реализованного субъектом туристической деятельности, оказывающим услуги на территории, определенной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При приобретении гражданами дополнительных туристических услуг &lt;*&gt; срок пребывания продлевается. Срок тура, в том числе при его продлении, не должен превышать срок временного пребывания.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lastRenderedPageBreak/>
        <w:t xml:space="preserve">&lt;*&gt; Под дополнительными туристическими услугами понимаются туристические услуги, приобретение которых в рамках тура, реализованного субъектом туристической деятельности, оказывающим услуги на территории, определенной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Указа, влечет увеличение срока пребывания граждан (дополнительные экскурсии, услуги трансфера, медицинские и прочие услуги с обязательным включением дополнительного проживания в гостинице или аналогичном средстве размещения, а также в </w:t>
      </w:r>
      <w:proofErr w:type="spellStart"/>
      <w:r>
        <w:t>агроэкоусадьбе</w:t>
      </w:r>
      <w:proofErr w:type="spellEnd"/>
      <w:r>
        <w:t>).</w:t>
      </w:r>
    </w:p>
    <w:p w:rsidR="005D2E68" w:rsidRDefault="005D2E68">
      <w:pPr>
        <w:pStyle w:val="ConsPlusNormal"/>
      </w:pPr>
    </w:p>
    <w:p w:rsidR="005D2E68" w:rsidRDefault="005D2E68">
      <w:pPr>
        <w:pStyle w:val="ConsPlusNormal"/>
        <w:ind w:firstLine="540"/>
        <w:jc w:val="both"/>
      </w:pPr>
      <w:bookmarkStart w:id="2" w:name="P20"/>
      <w:bookmarkEnd w:id="2"/>
      <w:r>
        <w:t xml:space="preserve">4. Основанием для безвизового порядка въезда в Республику Беларусь и выезда из Республики Беларусь в пунктах пропуска и временного пребывания на территории, определенной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Указа, в том числе в пределах пограничной зоны и пограничной полосы, являются документы, предоставляющие гражданам право на: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индивидуальное посещение безвизовой территории "Брест - Гродно";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групповое посещение безвизовой территории "Брест - Гродно", а также территорий районов Брестской и Гродненской областей, не являющихся частью данной территории.</w:t>
      </w:r>
    </w:p>
    <w:p w:rsidR="005D2E68" w:rsidRDefault="005D2E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2E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2E68" w:rsidRDefault="005D2E6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D2E68" w:rsidRDefault="005D2E68">
            <w:pPr>
              <w:pStyle w:val="ConsPlusNormal"/>
              <w:jc w:val="both"/>
            </w:pPr>
            <w:r>
              <w:rPr>
                <w:color w:val="392C69"/>
              </w:rPr>
              <w:t xml:space="preserve">С 10 ноября 2019 года вступает в силу постановление Совета Министров Республики Беларусь от 14.10.2019 N 699, утвердившее </w:t>
            </w:r>
            <w:hyperlink r:id="rId4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порядке посещения гражданами безвизовой территории "Брест - Гродно", а также территорий районов Брестской и Гродненской областей, не являющихся частью данной территории и установившее </w:t>
            </w:r>
            <w:hyperlink r:id="rId5" w:history="1">
              <w:r>
                <w:rPr>
                  <w:color w:val="0000FF"/>
                </w:rPr>
                <w:t>формы</w:t>
              </w:r>
            </w:hyperlink>
            <w:r>
              <w:rPr>
                <w:color w:val="392C69"/>
              </w:rPr>
              <w:t xml:space="preserve"> документа, предоставляющего гражданам право на индивидуальное посещение безвизовой территории и документа, предоставляющего гражданам право на групповое посещение безвизовой территории.</w:t>
            </w:r>
          </w:p>
        </w:tc>
      </w:tr>
    </w:tbl>
    <w:p w:rsidR="005D2E68" w:rsidRDefault="005D2E68">
      <w:pPr>
        <w:pStyle w:val="ConsPlusNormal"/>
        <w:spacing w:before="360"/>
        <w:ind w:firstLine="540"/>
        <w:jc w:val="both"/>
      </w:pPr>
      <w:r>
        <w:t xml:space="preserve">Формы документов, предусмотренных в </w:t>
      </w:r>
      <w:hyperlink w:anchor="P20" w:history="1">
        <w:r>
          <w:rPr>
            <w:color w:val="0000FF"/>
          </w:rPr>
          <w:t>части первой</w:t>
        </w:r>
      </w:hyperlink>
      <w:r>
        <w:t xml:space="preserve"> настоящего пункта, порядок посещения гражданами безвизовой территории "Брест - Гродно", а также территорий районов Брестской и Гродненской областей, не являющихся частью данной территории, устанавливаются Советом Министров Республики Беларусь.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 xml:space="preserve">5. Граждане, намеревающиеся посетить территорию, определенную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Указа, при безвизовом порядке въезда в Республику Беларусь и выезда из Республики Беларусь в пунктах пропуска обязаны предъявить следующие документы: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действительный документ для выезда за границу;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 xml:space="preserve">документ, предоставляющий право на индивидуальное посещение </w:t>
      </w:r>
      <w:r>
        <w:lastRenderedPageBreak/>
        <w:t>безвизовой территории "Брест - Гродно" или групповое посещение этой территории, а также территорий районов Брестской и Гродненской областей, не являющихся частью данной территории.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6. В целях реализации настоящего Указа предоставление, сбор, обработка персональных данных граждан осуществляются без их письменного согласия с соблюдением требований, определенных законодательными актами, по защите информации, распространение и (или) предоставление которой ограничено.</w:t>
      </w:r>
    </w:p>
    <w:p w:rsidR="005D2E68" w:rsidRDefault="005D2E68">
      <w:pPr>
        <w:pStyle w:val="ConsPlusNormal"/>
        <w:spacing w:before="280"/>
        <w:ind w:firstLine="540"/>
        <w:jc w:val="both"/>
      </w:pPr>
      <w:bookmarkStart w:id="3" w:name="P30"/>
      <w:bookmarkEnd w:id="3"/>
      <w:r>
        <w:t xml:space="preserve">7. Признать утратившим силу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26 декабря 2017 г. N 462 "Об установлении безвизового порядка въезда и выезда иностранных граждан".</w:t>
      </w:r>
    </w:p>
    <w:p w:rsidR="005D2E68" w:rsidRDefault="005D2E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2E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2E68" w:rsidRDefault="005D2E68">
            <w:pPr>
              <w:pStyle w:val="ConsPlusNormal"/>
              <w:jc w:val="both"/>
            </w:pPr>
            <w:r>
              <w:rPr>
                <w:color w:val="392C69"/>
              </w:rPr>
              <w:t>Пункт 8 вступил в силу после официального опубликования (</w:t>
            </w:r>
            <w:hyperlink w:anchor="P36" w:history="1">
              <w:r>
                <w:rPr>
                  <w:color w:val="0000FF"/>
                </w:rPr>
                <w:t>абзац третий пункта 9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5D2E68" w:rsidRDefault="005D2E68">
      <w:pPr>
        <w:pStyle w:val="ConsPlusNormal"/>
        <w:spacing w:before="360"/>
        <w:ind w:firstLine="540"/>
        <w:jc w:val="both"/>
      </w:pPr>
      <w:r>
        <w:t>8. Совету Министров Республики Беларусь в трехмесячный срок принять меры по реализации настоящего Указа.</w:t>
      </w:r>
    </w:p>
    <w:p w:rsidR="005D2E68" w:rsidRDefault="005D2E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2E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2E68" w:rsidRDefault="005D2E68">
            <w:pPr>
              <w:pStyle w:val="ConsPlusNormal"/>
              <w:jc w:val="both"/>
            </w:pPr>
            <w:r>
              <w:rPr>
                <w:color w:val="392C69"/>
              </w:rPr>
              <w:t>Пункт 9 вступил в силу после официального опубликования.</w:t>
            </w:r>
          </w:p>
        </w:tc>
      </w:tr>
    </w:tbl>
    <w:p w:rsidR="005D2E68" w:rsidRDefault="005D2E68">
      <w:pPr>
        <w:pStyle w:val="ConsPlusNormal"/>
        <w:spacing w:before="360"/>
        <w:ind w:firstLine="540"/>
        <w:jc w:val="both"/>
      </w:pPr>
      <w:r>
        <w:t>9. Настоящий Указ вступает в силу в следующем порядке:</w:t>
      </w:r>
    </w:p>
    <w:p w:rsidR="005D2E68" w:rsidRDefault="005D2E68">
      <w:pPr>
        <w:pStyle w:val="ConsPlusNormal"/>
        <w:spacing w:before="280"/>
        <w:ind w:firstLine="540"/>
        <w:jc w:val="both"/>
      </w:pPr>
      <w:hyperlink w:anchor="P11" w:history="1">
        <w:r>
          <w:rPr>
            <w:color w:val="0000FF"/>
          </w:rPr>
          <w:t>пункты 1</w:t>
        </w:r>
      </w:hyperlink>
      <w:r>
        <w:t xml:space="preserve"> - </w:t>
      </w:r>
      <w:hyperlink w:anchor="P30" w:history="1">
        <w:r>
          <w:rPr>
            <w:color w:val="0000FF"/>
          </w:rPr>
          <w:t>7</w:t>
        </w:r>
      </w:hyperlink>
      <w:r>
        <w:t xml:space="preserve"> - через три месяца после официального опубликования настоящего Указа;</w:t>
      </w:r>
    </w:p>
    <w:p w:rsidR="005D2E68" w:rsidRDefault="005D2E68">
      <w:pPr>
        <w:pStyle w:val="ConsPlusNormal"/>
        <w:spacing w:before="280"/>
        <w:ind w:firstLine="540"/>
        <w:jc w:val="both"/>
      </w:pPr>
      <w:bookmarkStart w:id="4" w:name="P36"/>
      <w:bookmarkEnd w:id="4"/>
      <w:r>
        <w:t>иные положения данного Указа - после его официального опубликования.</w:t>
      </w:r>
    </w:p>
    <w:p w:rsidR="005D2E68" w:rsidRDefault="005D2E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D2E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2E68" w:rsidRDefault="005D2E68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2E68" w:rsidRDefault="005D2E68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5D2E68" w:rsidRDefault="005D2E68">
      <w:pPr>
        <w:pStyle w:val="ConsPlusNormal"/>
      </w:pPr>
    </w:p>
    <w:p w:rsidR="005D2E68" w:rsidRDefault="005D2E68">
      <w:pPr>
        <w:pStyle w:val="ConsPlusNormal"/>
      </w:pPr>
    </w:p>
    <w:p w:rsidR="005D2E68" w:rsidRDefault="005D2E68">
      <w:pPr>
        <w:pStyle w:val="ConsPlusNormal"/>
      </w:pPr>
    </w:p>
    <w:p w:rsidR="005D2E68" w:rsidRDefault="005D2E68">
      <w:pPr>
        <w:pStyle w:val="ConsPlusNormal"/>
      </w:pPr>
    </w:p>
    <w:p w:rsidR="005D2E68" w:rsidRDefault="005D2E68">
      <w:pPr>
        <w:pStyle w:val="ConsPlusNormal"/>
      </w:pPr>
    </w:p>
    <w:p w:rsidR="005D2E68" w:rsidRDefault="005D2E68">
      <w:pPr>
        <w:pStyle w:val="ConsPlusNormal"/>
        <w:jc w:val="right"/>
        <w:outlineLvl w:val="0"/>
      </w:pPr>
      <w:r>
        <w:t>Приложение 1</w:t>
      </w:r>
    </w:p>
    <w:p w:rsidR="005D2E68" w:rsidRDefault="005D2E68">
      <w:pPr>
        <w:pStyle w:val="ConsPlusNormal"/>
        <w:jc w:val="right"/>
      </w:pPr>
      <w:r>
        <w:t>к Указу Президента</w:t>
      </w:r>
    </w:p>
    <w:p w:rsidR="005D2E68" w:rsidRDefault="005D2E68">
      <w:pPr>
        <w:pStyle w:val="ConsPlusNormal"/>
        <w:jc w:val="right"/>
      </w:pPr>
      <w:r>
        <w:t>Республики Беларусь</w:t>
      </w:r>
    </w:p>
    <w:p w:rsidR="005D2E68" w:rsidRDefault="005D2E68">
      <w:pPr>
        <w:pStyle w:val="ConsPlusNormal"/>
        <w:jc w:val="right"/>
      </w:pPr>
      <w:r>
        <w:t>07.08.2019 N 300</w:t>
      </w:r>
    </w:p>
    <w:p w:rsidR="005D2E68" w:rsidRDefault="005D2E68">
      <w:pPr>
        <w:pStyle w:val="ConsPlusNormal"/>
      </w:pPr>
    </w:p>
    <w:p w:rsidR="005D2E68" w:rsidRDefault="005D2E68">
      <w:pPr>
        <w:pStyle w:val="ConsPlusTitle"/>
        <w:jc w:val="center"/>
      </w:pPr>
      <w:bookmarkStart w:id="5" w:name="P49"/>
      <w:bookmarkEnd w:id="5"/>
      <w:r>
        <w:t>ПЕРЕЧЕНЬ</w:t>
      </w:r>
    </w:p>
    <w:p w:rsidR="005D2E68" w:rsidRDefault="005D2E68">
      <w:pPr>
        <w:pStyle w:val="ConsPlusTitle"/>
        <w:jc w:val="center"/>
      </w:pPr>
      <w:r>
        <w:t>ГОСУДАРСТВ, В ОТНОШЕНИИ ГРАЖДАН КОТОРЫХ УСТАНАВЛИВАЕТСЯ БЕЗВИЗОВЫЙ ПОРЯДОК ВЪЕЗДА И ВЫЕЗДА</w:t>
      </w:r>
    </w:p>
    <w:p w:rsidR="005D2E68" w:rsidRDefault="005D2E68">
      <w:pPr>
        <w:pStyle w:val="ConsPlusNormal"/>
      </w:pPr>
    </w:p>
    <w:p w:rsidR="005D2E68" w:rsidRDefault="005D2E68">
      <w:pPr>
        <w:pStyle w:val="ConsPlusNormal"/>
        <w:ind w:firstLine="540"/>
        <w:jc w:val="both"/>
      </w:pPr>
      <w:r>
        <w:t>1. Австралия.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2. Австрийская Республика.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3. Республика Албания.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4. Княжество Андорра.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 xml:space="preserve">5. Антигуа и </w:t>
      </w:r>
      <w:proofErr w:type="spellStart"/>
      <w:r>
        <w:t>Барбуда</w:t>
      </w:r>
      <w:proofErr w:type="spellEnd"/>
      <w:r>
        <w:t>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6. Барбадос.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7. Королевство Бахрейн.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8. Королевство Бельгия.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9. Республика Болгария.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10. Босния и Герцеговина.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11. Республика Вануату.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12. Государство-город Ватикан.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13. Соединенное Королевство Великобритании и Северной Ирландии.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14. Венгрия.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15. Социалистическая Республика Вьетнам.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16. Республика Гаити.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17. Республика Гамбия.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18. Федеративная Республика Германия.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19. Греческая Республика.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20. Королевство Дания.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21. Содружество Доминики.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22. Республика Индия.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23. Республика Индонезия.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24. Ирландия.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lastRenderedPageBreak/>
        <w:t>25. Республика Исландия.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26. Королевство Испания.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27. Итальянская Республика.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28. Канада.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29. Республика Кипр.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30. Республика Корея.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31. Государство Кувейт.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 xml:space="preserve">32. Латвийская Республика </w:t>
      </w:r>
      <w:hyperlink w:anchor="P126" w:history="1">
        <w:r>
          <w:rPr>
            <w:color w:val="0000FF"/>
          </w:rPr>
          <w:t>&lt;*&gt;</w:t>
        </w:r>
      </w:hyperlink>
      <w:r>
        <w:t>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33. Ливанская Республика.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34. Литовская Республика.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35. Княжество Лихтенштейн.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36. Великое Герцогство Люксембург.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37. Республика Северная Македония.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38. Малайзия.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39. Республика Мальта.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40. Мексиканские Соединенные Штаты.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41. Федеративные Штаты Микронезии.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42. Княжество Монако.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43. Республика Намибия.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44. Королевство Нидерландов.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45. Республика Никарагуа.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46. Новая Зеландия.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47. Королевство Норвегия.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48. Султанат Оман.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lastRenderedPageBreak/>
        <w:t>49. Республика Панама.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50. Республика Перу.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51. Республика Польша.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52. Португальская Республика.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53. Румыния.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54. Независимое Государство Самоа.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55. Республика Сан-Марино.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56. Королевство Саудовская Аравия.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57. Республика Сейшельские острова.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58. Сент-Винсент и Гренадины.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59. Республика Сингапур.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60. Словацкая Республика.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61. Республика Словения.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62. Соединенные Штаты Америки.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63. Восточная Республика Уругвай.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64. Финляндская Республика.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65. Французская Республика.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66. Республика Хорватия.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67. Чешская Республика.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68. Республика Чили.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69. Швейцарская Конфедерация.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70. Королевство Швеция.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71. Республика Эль-Сальвадор.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72. Эстонская Республика &lt;**&gt;.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lastRenderedPageBreak/>
        <w:t>73. Япония.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5D2E68" w:rsidRDefault="005D2E68">
      <w:pPr>
        <w:pStyle w:val="ConsPlusNormal"/>
        <w:spacing w:before="280"/>
        <w:ind w:firstLine="540"/>
        <w:jc w:val="both"/>
      </w:pPr>
      <w:bookmarkStart w:id="6" w:name="P126"/>
      <w:bookmarkEnd w:id="6"/>
      <w:r>
        <w:t xml:space="preserve">&lt;*&gt; В том числе лица, имеющие статус </w:t>
      </w:r>
      <w:proofErr w:type="spellStart"/>
      <w:r>
        <w:t>негражданина</w:t>
      </w:r>
      <w:proofErr w:type="spellEnd"/>
      <w:r>
        <w:t xml:space="preserve"> Латвийской Республики.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&lt;**&gt; В том числе лица без гражданства, постоянно проживающие в Эстонской Республике.</w:t>
      </w:r>
    </w:p>
    <w:p w:rsidR="005D2E68" w:rsidRDefault="005D2E68">
      <w:pPr>
        <w:pStyle w:val="ConsPlusNormal"/>
      </w:pPr>
    </w:p>
    <w:p w:rsidR="005D2E68" w:rsidRDefault="005D2E68">
      <w:pPr>
        <w:pStyle w:val="ConsPlusNormal"/>
        <w:jc w:val="both"/>
      </w:pPr>
    </w:p>
    <w:p w:rsidR="005D2E68" w:rsidRDefault="005D2E68">
      <w:pPr>
        <w:pStyle w:val="ConsPlusNormal"/>
        <w:jc w:val="both"/>
      </w:pPr>
    </w:p>
    <w:p w:rsidR="005D2E68" w:rsidRDefault="005D2E68">
      <w:pPr>
        <w:pStyle w:val="ConsPlusNormal"/>
        <w:jc w:val="both"/>
      </w:pPr>
    </w:p>
    <w:p w:rsidR="005D2E68" w:rsidRDefault="005D2E68">
      <w:pPr>
        <w:pStyle w:val="ConsPlusNormal"/>
        <w:jc w:val="both"/>
      </w:pPr>
    </w:p>
    <w:p w:rsidR="005D2E68" w:rsidRDefault="005D2E68">
      <w:pPr>
        <w:pStyle w:val="ConsPlusNormal"/>
        <w:jc w:val="right"/>
        <w:outlineLvl w:val="0"/>
      </w:pPr>
      <w:r>
        <w:t>Приложение 2</w:t>
      </w:r>
    </w:p>
    <w:p w:rsidR="005D2E68" w:rsidRDefault="005D2E68">
      <w:pPr>
        <w:pStyle w:val="ConsPlusNormal"/>
        <w:jc w:val="right"/>
      </w:pPr>
      <w:r>
        <w:t>к Указу Президента</w:t>
      </w:r>
    </w:p>
    <w:p w:rsidR="005D2E68" w:rsidRDefault="005D2E68">
      <w:pPr>
        <w:pStyle w:val="ConsPlusNormal"/>
        <w:jc w:val="right"/>
      </w:pPr>
      <w:r>
        <w:t>Республики Беларусь</w:t>
      </w:r>
    </w:p>
    <w:p w:rsidR="005D2E68" w:rsidRDefault="005D2E68">
      <w:pPr>
        <w:pStyle w:val="ConsPlusNormal"/>
        <w:jc w:val="right"/>
      </w:pPr>
      <w:r>
        <w:t>07.08.2019 N 300</w:t>
      </w:r>
    </w:p>
    <w:p w:rsidR="005D2E68" w:rsidRDefault="005D2E68">
      <w:pPr>
        <w:pStyle w:val="ConsPlusNormal"/>
      </w:pPr>
    </w:p>
    <w:p w:rsidR="005D2E68" w:rsidRDefault="005D2E68">
      <w:pPr>
        <w:pStyle w:val="ConsPlusTitle"/>
        <w:jc w:val="center"/>
      </w:pPr>
      <w:bookmarkStart w:id="7" w:name="P138"/>
      <w:bookmarkEnd w:id="7"/>
      <w:r>
        <w:t>ПЕРЕЧЕНЬ</w:t>
      </w:r>
    </w:p>
    <w:p w:rsidR="005D2E68" w:rsidRDefault="005D2E68">
      <w:pPr>
        <w:pStyle w:val="ConsPlusTitle"/>
        <w:jc w:val="center"/>
      </w:pPr>
      <w:r>
        <w:t>ПУНКТОВ ПРОПУСКА ЧЕРЕЗ ГОСУДАРСТВЕННУЮ ГРАНИЦУ РЕСПУБЛИКИ БЕЛАРУСЬ, ЧЕРЕЗ КОТОРЫЕ ОСУЩЕСТВЛЯЕТСЯ БЕЗВИЗОВЫЙ ПОРЯДОК ВЪЕЗДА И ВЫЕЗДА</w:t>
      </w:r>
    </w:p>
    <w:p w:rsidR="005D2E68" w:rsidRDefault="005D2E68">
      <w:pPr>
        <w:pStyle w:val="ConsPlusNormal"/>
      </w:pPr>
    </w:p>
    <w:p w:rsidR="005D2E68" w:rsidRDefault="005D2E68">
      <w:pPr>
        <w:pStyle w:val="ConsPlusNormal"/>
        <w:ind w:firstLine="540"/>
        <w:jc w:val="both"/>
      </w:pPr>
      <w:r>
        <w:t>1. Автодорожные пункты пропуска: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Брест (</w:t>
      </w:r>
      <w:proofErr w:type="spellStart"/>
      <w:r>
        <w:t>Тересполь</w:t>
      </w:r>
      <w:proofErr w:type="spellEnd"/>
      <w:r>
        <w:t>);</w:t>
      </w:r>
    </w:p>
    <w:p w:rsidR="005D2E68" w:rsidRDefault="005D2E68">
      <w:pPr>
        <w:pStyle w:val="ConsPlusNormal"/>
        <w:spacing w:before="280"/>
        <w:ind w:firstLine="540"/>
        <w:jc w:val="both"/>
      </w:pPr>
      <w:proofErr w:type="spellStart"/>
      <w:r>
        <w:t>Брузги</w:t>
      </w:r>
      <w:proofErr w:type="spellEnd"/>
      <w:r>
        <w:t xml:space="preserve"> (Кузница </w:t>
      </w:r>
      <w:proofErr w:type="spellStart"/>
      <w:r>
        <w:t>Белостоцкая</w:t>
      </w:r>
      <w:proofErr w:type="spellEnd"/>
      <w:r>
        <w:t>);</w:t>
      </w:r>
    </w:p>
    <w:p w:rsidR="005D2E68" w:rsidRDefault="005D2E68">
      <w:pPr>
        <w:pStyle w:val="ConsPlusNormal"/>
        <w:spacing w:before="280"/>
        <w:ind w:firstLine="540"/>
        <w:jc w:val="both"/>
      </w:pPr>
      <w:proofErr w:type="spellStart"/>
      <w:r>
        <w:t>Домачево</w:t>
      </w:r>
      <w:proofErr w:type="spellEnd"/>
      <w:r>
        <w:t xml:space="preserve"> (</w:t>
      </w:r>
      <w:proofErr w:type="spellStart"/>
      <w:r>
        <w:t>Словатичи</w:t>
      </w:r>
      <w:proofErr w:type="spellEnd"/>
      <w:r>
        <w:t>);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Бенякони (</w:t>
      </w:r>
      <w:proofErr w:type="spellStart"/>
      <w:r>
        <w:t>Шальчининкай</w:t>
      </w:r>
      <w:proofErr w:type="spellEnd"/>
      <w:r>
        <w:t>);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Берестовица (</w:t>
      </w:r>
      <w:proofErr w:type="spellStart"/>
      <w:r>
        <w:t>Бобровники</w:t>
      </w:r>
      <w:proofErr w:type="spellEnd"/>
      <w:r>
        <w:t>);</w:t>
      </w:r>
    </w:p>
    <w:p w:rsidR="005D2E68" w:rsidRDefault="005D2E68">
      <w:pPr>
        <w:pStyle w:val="ConsPlusNormal"/>
        <w:spacing w:before="280"/>
        <w:ind w:firstLine="540"/>
        <w:jc w:val="both"/>
      </w:pPr>
      <w:proofErr w:type="spellStart"/>
      <w:r>
        <w:t>Песчатка</w:t>
      </w:r>
      <w:proofErr w:type="spellEnd"/>
      <w:r>
        <w:t xml:space="preserve"> (Половцы);</w:t>
      </w:r>
    </w:p>
    <w:p w:rsidR="005D2E68" w:rsidRDefault="005D2E68">
      <w:pPr>
        <w:pStyle w:val="ConsPlusNormal"/>
        <w:spacing w:before="280"/>
        <w:ind w:firstLine="540"/>
        <w:jc w:val="both"/>
      </w:pPr>
      <w:proofErr w:type="spellStart"/>
      <w:r>
        <w:t>Привалка</w:t>
      </w:r>
      <w:proofErr w:type="spellEnd"/>
      <w:r>
        <w:t xml:space="preserve"> (</w:t>
      </w:r>
      <w:proofErr w:type="spellStart"/>
      <w:r>
        <w:t>Райгардас</w:t>
      </w:r>
      <w:proofErr w:type="spellEnd"/>
      <w:r>
        <w:t>).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2. Пункты упрощенного пропуска:</w:t>
      </w:r>
    </w:p>
    <w:p w:rsidR="005D2E68" w:rsidRDefault="005D2E68">
      <w:pPr>
        <w:pStyle w:val="ConsPlusNormal"/>
        <w:spacing w:before="280"/>
        <w:ind w:firstLine="540"/>
        <w:jc w:val="both"/>
      </w:pPr>
      <w:proofErr w:type="spellStart"/>
      <w:r>
        <w:t>Переров</w:t>
      </w:r>
      <w:proofErr w:type="spellEnd"/>
      <w:r>
        <w:t xml:space="preserve"> (</w:t>
      </w:r>
      <w:proofErr w:type="spellStart"/>
      <w:r>
        <w:t>Беловежа</w:t>
      </w:r>
      <w:proofErr w:type="spellEnd"/>
      <w:r>
        <w:t>);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Лесная (</w:t>
      </w:r>
      <w:proofErr w:type="spellStart"/>
      <w:r>
        <w:t>Рудавка</w:t>
      </w:r>
      <w:proofErr w:type="spellEnd"/>
      <w:r>
        <w:t>);</w:t>
      </w:r>
    </w:p>
    <w:p w:rsidR="005D2E68" w:rsidRDefault="005D2E68">
      <w:pPr>
        <w:pStyle w:val="ConsPlusNormal"/>
        <w:spacing w:before="280"/>
        <w:ind w:firstLine="540"/>
        <w:jc w:val="both"/>
      </w:pPr>
      <w:proofErr w:type="spellStart"/>
      <w:r>
        <w:t>Привалка</w:t>
      </w:r>
      <w:proofErr w:type="spellEnd"/>
      <w:r>
        <w:t xml:space="preserve"> (</w:t>
      </w:r>
      <w:proofErr w:type="spellStart"/>
      <w:r>
        <w:t>Швяндубре</w:t>
      </w:r>
      <w:proofErr w:type="spellEnd"/>
      <w:r>
        <w:t>).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lastRenderedPageBreak/>
        <w:t>3. Пункты пропуска на железнодорожных вокзалах (станциях):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Брест (</w:t>
      </w:r>
      <w:proofErr w:type="spellStart"/>
      <w:r>
        <w:t>Тересполь</w:t>
      </w:r>
      <w:proofErr w:type="spellEnd"/>
      <w:r>
        <w:t>) &lt;*&gt;;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 xml:space="preserve">Гродно (Кузница </w:t>
      </w:r>
      <w:proofErr w:type="spellStart"/>
      <w:r>
        <w:t>Белостоцкая</w:t>
      </w:r>
      <w:proofErr w:type="spellEnd"/>
      <w:r>
        <w:t>) &lt;**&gt;.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4. Пункты пропуска в аэропортах: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аэропорт Брест;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аэропорт Гродно.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>&lt;*&gt; Под пунктом пропуска Брест (</w:t>
      </w:r>
      <w:proofErr w:type="spellStart"/>
      <w:r>
        <w:t>Тересполь</w:t>
      </w:r>
      <w:proofErr w:type="spellEnd"/>
      <w:r>
        <w:t>) понимается пункт пропуска на железнодорожной станции Брест-Восточный в центральном районе, г. Брест.</w:t>
      </w:r>
    </w:p>
    <w:p w:rsidR="005D2E68" w:rsidRDefault="005D2E68">
      <w:pPr>
        <w:pStyle w:val="ConsPlusNormal"/>
        <w:spacing w:before="280"/>
        <w:ind w:firstLine="540"/>
        <w:jc w:val="both"/>
      </w:pPr>
      <w:r>
        <w:t xml:space="preserve">&lt;**&gt; Под железнодорожным пунктом пропуска Гродно (Кузница </w:t>
      </w:r>
      <w:proofErr w:type="spellStart"/>
      <w:r>
        <w:t>Белостоцкая</w:t>
      </w:r>
      <w:proofErr w:type="spellEnd"/>
      <w:r>
        <w:t>) понимается пункт пропуска на железнодорожной станции Гродно, г. Гродно.</w:t>
      </w:r>
    </w:p>
    <w:p w:rsidR="005D2E68" w:rsidRDefault="005D2E68">
      <w:pPr>
        <w:pStyle w:val="ConsPlusNormal"/>
      </w:pPr>
    </w:p>
    <w:p w:rsidR="005D2E68" w:rsidRDefault="005D2E68">
      <w:pPr>
        <w:pStyle w:val="ConsPlusNormal"/>
        <w:jc w:val="both"/>
      </w:pPr>
    </w:p>
    <w:p w:rsidR="005D2E68" w:rsidRDefault="005D2E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388F" w:rsidRDefault="00E0388F"/>
    <w:sectPr w:rsidR="00E0388F" w:rsidSect="00CA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68"/>
    <w:rsid w:val="005D2E68"/>
    <w:rsid w:val="00724C98"/>
    <w:rsid w:val="00E0388F"/>
    <w:rsid w:val="00F2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C6FF"/>
  <w15:chartTrackingRefBased/>
  <w15:docId w15:val="{91DE603A-F3B0-4609-99A5-E09FBAC0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E6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D2E6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D2E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8446E0DE17EE1910CDD709ECDCBF993A34CD3781ADEAE8DE1BA766448030F6978Fu8Q2H" TargetMode="External"/><Relationship Id="rId5" Type="http://schemas.openxmlformats.org/officeDocument/2006/relationships/hyperlink" Target="consultantplus://offline/ref=938446E0DE17EE1910CDD709ECDCBF993A34CD3781ADE7E6DB1DA066448030F6978F8208401172593F081F546AuFQ5H" TargetMode="External"/><Relationship Id="rId4" Type="http://schemas.openxmlformats.org/officeDocument/2006/relationships/hyperlink" Target="consultantplus://offline/ref=938446E0DE17EE1910CDD709ECDCBF993A34CD3781ADE7E6DB1DA066448030F6978F8208401172593F081F546EuFQ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КЛИМУК СВЕТЛАНА АЛЕКСАНДРОВНА</dc:creator>
  <cp:keywords/>
  <dc:description/>
  <cp:lastModifiedBy>КЛИМУК СВЕТЛАНА АЛЕКСАНДРОВНА</cp:lastModifiedBy>
  <cp:revision>1</cp:revision>
  <dcterms:created xsi:type="dcterms:W3CDTF">2019-11-04T07:16:00Z</dcterms:created>
  <dcterms:modified xsi:type="dcterms:W3CDTF">2019-11-04T07:18:00Z</dcterms:modified>
</cp:coreProperties>
</file>